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供电质量标准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在电力系统正常的情况下，供电质量应当符合下列规定：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（一）向用户提供的电能质量符合国家标准或者电力行业标准；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（二）城市地区年供电可靠率不低于99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.5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%,城市居民用户受电端电压合格率不低于9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%，10千伏以上供电用户受电端电压合格率不低于98%；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（三）农村地区年供电可靠率不低于99%，农村居民受电端电压合格率不低于9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/>
        </w:rPr>
        <w:t>%。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供电企业应当审核用电设施产生谐波、冲击负荷的情况，按照国家有关规定拒绝不符合规定的用电设施接入电网。用电设施产生谐波、冲击负荷影响供电质量或者干扰电力系统安全运行的，供电企业应当及时告知用户采取有效措施予以消除；用户不采取措施或者采取措施不力，产生的谐波、冲击负荷仍超过国家标准的，供电企业可以按照国家有关规定拒绝其接入电网或者中止供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供电企业应当按照下列规定选择电压监测点：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（一）35千伏专线供电用户和110千伏以上供电用户应当设置电压监测点；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二）35千伏非专线供电用户或者66千伏供电用户、10（6、20）千伏供电用户，每10000千瓦负荷选择具有代表性的用户设置1个以上电压监测点，所选用户应当包括对供电质量有较高要求的重要电力用户和变电站10（6、20）千伏母线所带具有代表性线路的末端用户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（三）低压供电用户，每百台配电变压器选择具有代表性的用户设置1个以上电压监测点，所选用户应当是重要电力用户和低压配电网的首末两端用户。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516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pacing w:val="-11"/>
          <w:sz w:val="28"/>
          <w:szCs w:val="28"/>
          <w:lang w:val="en-US"/>
        </w:rPr>
        <w:t>每年3月31日前将上一年度设置电压监测点的情况报送所在地派出机构。</w:t>
      </w:r>
    </w:p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/>
        </w:rPr>
        <w:t>应当按照国家有关规定选择、安装、校验电压监测装置，监测和统计用户电压情况。监测数据和统计数据应当及时、真实、完整。</w:t>
      </w:r>
    </w:p>
    <w:p>
      <w:pPr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pict>
          <v:shape id="_x0000_i1025" o:spt="75" alt="图片1" type="#_x0000_t75" style="height:714.9pt;width:447.45pt;" filled="f" o:preferrelative="t" stroked="f" coordsize="21600,21600">
            <v:path/>
            <v:fill on="f" focussize="0,0"/>
            <v:stroke on="f"/>
            <v:imagedata r:id="rId4" o:title="图片1"/>
            <o:lock v:ext="edit" aspectratio="t"/>
            <w10:wrap type="none"/>
            <w10:anchorlock/>
          </v:shape>
        </w:pi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pict>
          <v:shape id="_x0000_i1026" o:spt="75" alt="图片2" type="#_x0000_t75" style="height:719.55pt;width:447.45pt;" filled="f" o:preferrelative="t" stroked="f" coordsize="21600,21600">
            <v:path/>
            <v:fill on="f" focussize="0,0"/>
            <v:stroke on="f"/>
            <v:imagedata r:id="rId5" o:title="图片2"/>
            <o:lock v:ext="edit" aspectratio="t"/>
            <w10:wrap type="none"/>
            <w10:anchorlock/>
          </v:shape>
        </w:pi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pict>
          <v:shape id="_x0000_i1027" o:spt="75" alt="图片3" type="#_x0000_t75" style="height:710.95pt;width:447.9pt;" filled="f" o:preferrelative="t" stroked="f" coordsize="21600,21600">
            <v:path/>
            <v:fill on="f" focussize="0,0"/>
            <v:stroke on="f"/>
            <v:imagedata r:id="rId6" o:title="图片3"/>
            <o:lock v:ext="edit" aspectratio="t"/>
            <w10:wrap type="none"/>
            <w10:anchorlock/>
          </v:shape>
        </w:pict>
      </w:r>
    </w:p>
    <w:sectPr>
      <w:pgSz w:w="11906" w:h="16838"/>
      <w:pgMar w:top="873" w:right="1689" w:bottom="87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CF7EB8"/>
    <w:rsid w:val="378F62E6"/>
    <w:rsid w:val="3B311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2020-03-23T07:53:00Z</dcterms:created>
  <dc:creator>王琼</dc:creator>
  <cp:lastModifiedBy>zou</cp:lastModifiedBy>
  <dcterms:modified xsi:type="dcterms:W3CDTF">2021-10-11T15:49:09Z</dcterms:modified>
  <dc:title>商洛供电分公司供电质量标准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EF3AF77814BD4199B7668F58316C6DF1</vt:lpwstr>
  </property>
</Properties>
</file>